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63" w:rsidRPr="009F3C63" w:rsidRDefault="00170763" w:rsidP="00170763">
      <w:pPr>
        <w:jc w:val="both"/>
        <w:rPr>
          <w:rFonts w:ascii="Arial" w:hAnsi="Arial"/>
          <w:sz w:val="20"/>
          <w:szCs w:val="20"/>
        </w:rPr>
      </w:pPr>
      <w:r w:rsidRPr="009F3C63">
        <w:rPr>
          <w:rFonts w:ascii="Arial" w:hAnsi="Arial"/>
          <w:sz w:val="20"/>
          <w:szCs w:val="20"/>
        </w:rPr>
        <w:t>As the manager of Corby and Danes Ltd, you are concerned about the current collection policy from credit customers.  The current policy is that all sales are to be made on credit, with the expectation that 70% of all accounts receivable are collected in the month immediately following the sale:  20% in the second month, 8% in the third month, and the balance written off as bad.</w:t>
      </w:r>
    </w:p>
    <w:p w:rsidR="00170763" w:rsidRPr="009F3C63" w:rsidRDefault="00170763" w:rsidP="00170763">
      <w:pPr>
        <w:ind w:firstLine="567"/>
        <w:jc w:val="both"/>
        <w:rPr>
          <w:rFonts w:ascii="Arial" w:hAnsi="Arial"/>
          <w:sz w:val="20"/>
          <w:szCs w:val="20"/>
        </w:rPr>
      </w:pPr>
      <w:r w:rsidRPr="009F3C63">
        <w:rPr>
          <w:rFonts w:ascii="Arial" w:hAnsi="Arial"/>
          <w:sz w:val="20"/>
          <w:szCs w:val="20"/>
        </w:rPr>
        <w:t>The actual sales for the four months January to April were as follows:</w:t>
      </w:r>
    </w:p>
    <w:p w:rsidR="00170763" w:rsidRPr="009F3C63" w:rsidRDefault="00170763" w:rsidP="00170763">
      <w:pPr>
        <w:ind w:left="1440"/>
        <w:jc w:val="both"/>
        <w:rPr>
          <w:rFonts w:ascii="Arial" w:hAnsi="Arial"/>
          <w:sz w:val="20"/>
          <w:szCs w:val="20"/>
        </w:rPr>
      </w:pPr>
      <w:r w:rsidRPr="009F3C63">
        <w:rPr>
          <w:rFonts w:ascii="Arial" w:hAnsi="Arial"/>
          <w:sz w:val="20"/>
          <w:szCs w:val="20"/>
        </w:rPr>
        <w:t>January $40 000; February $50 000; March $60 000; April $60 000</w:t>
      </w:r>
    </w:p>
    <w:p w:rsidR="00170763" w:rsidRPr="009F3C63" w:rsidRDefault="00170763" w:rsidP="00170763">
      <w:pPr>
        <w:ind w:firstLine="567"/>
        <w:jc w:val="both"/>
        <w:rPr>
          <w:rFonts w:ascii="Arial" w:hAnsi="Arial"/>
          <w:sz w:val="20"/>
          <w:szCs w:val="20"/>
        </w:rPr>
      </w:pPr>
      <w:r w:rsidRPr="009F3C63">
        <w:rPr>
          <w:rFonts w:ascii="Arial" w:hAnsi="Arial"/>
          <w:sz w:val="20"/>
          <w:szCs w:val="20"/>
        </w:rPr>
        <w:t>The forecast sales for the next four months are:</w:t>
      </w:r>
    </w:p>
    <w:p w:rsidR="00170763" w:rsidRPr="009F3C63" w:rsidRDefault="00170763" w:rsidP="00170763">
      <w:pPr>
        <w:ind w:left="1440"/>
        <w:jc w:val="both"/>
        <w:rPr>
          <w:rFonts w:ascii="Arial" w:hAnsi="Arial"/>
          <w:sz w:val="20"/>
          <w:szCs w:val="20"/>
        </w:rPr>
      </w:pPr>
      <w:r w:rsidRPr="009F3C63">
        <w:rPr>
          <w:rFonts w:ascii="Arial" w:hAnsi="Arial"/>
          <w:sz w:val="20"/>
          <w:szCs w:val="20"/>
        </w:rPr>
        <w:t>May $70 000; June $80 000; July $80 000; August $80 000</w:t>
      </w:r>
    </w:p>
    <w:p w:rsidR="00170763" w:rsidRPr="009F3C63" w:rsidRDefault="00170763" w:rsidP="00170763">
      <w:pPr>
        <w:ind w:firstLine="567"/>
        <w:jc w:val="both"/>
        <w:rPr>
          <w:rFonts w:ascii="Arial" w:hAnsi="Arial"/>
          <w:sz w:val="20"/>
          <w:szCs w:val="20"/>
        </w:rPr>
      </w:pPr>
    </w:p>
    <w:p w:rsidR="00170763" w:rsidRPr="009F3C63" w:rsidRDefault="00170763" w:rsidP="00170763">
      <w:pPr>
        <w:jc w:val="both"/>
        <w:rPr>
          <w:rFonts w:ascii="Arial" w:hAnsi="Arial"/>
          <w:sz w:val="20"/>
          <w:szCs w:val="20"/>
        </w:rPr>
      </w:pPr>
      <w:r w:rsidRPr="009F3C63">
        <w:rPr>
          <w:rFonts w:ascii="Arial" w:hAnsi="Arial"/>
          <w:sz w:val="20"/>
          <w:szCs w:val="20"/>
        </w:rPr>
        <w:t>You need a report that will show how much cash you can expect to collect each month from accounts receivable for the period February to August.  You also like to know what the cash flow patterns would be if either of the two policies below were to be adopted from now (</w:t>
      </w:r>
      <w:proofErr w:type="spellStart"/>
      <w:r w:rsidRPr="009F3C63">
        <w:rPr>
          <w:rFonts w:ascii="Arial" w:hAnsi="Arial"/>
          <w:sz w:val="20"/>
          <w:szCs w:val="20"/>
        </w:rPr>
        <w:t>ie</w:t>
      </w:r>
      <w:proofErr w:type="spellEnd"/>
      <w:r w:rsidRPr="009F3C63">
        <w:rPr>
          <w:rFonts w:ascii="Arial" w:hAnsi="Arial"/>
          <w:sz w:val="20"/>
          <w:szCs w:val="20"/>
        </w:rPr>
        <w:t xml:space="preserve"> from May) on.</w:t>
      </w:r>
    </w:p>
    <w:p w:rsidR="00170763" w:rsidRDefault="00170763" w:rsidP="00170763">
      <w:pPr>
        <w:ind w:left="1440" w:hanging="1440"/>
        <w:jc w:val="both"/>
        <w:rPr>
          <w:rFonts w:ascii="Arial" w:hAnsi="Arial"/>
          <w:b/>
          <w:sz w:val="20"/>
          <w:szCs w:val="20"/>
        </w:rPr>
      </w:pPr>
    </w:p>
    <w:p w:rsidR="00170763" w:rsidRDefault="00170763" w:rsidP="00170763">
      <w:pPr>
        <w:ind w:left="1440" w:hanging="1440"/>
        <w:jc w:val="both"/>
        <w:rPr>
          <w:rFonts w:ascii="Arial" w:hAnsi="Arial"/>
          <w:b/>
          <w:sz w:val="20"/>
          <w:szCs w:val="20"/>
        </w:rPr>
      </w:pPr>
    </w:p>
    <w:p w:rsidR="00170763" w:rsidRDefault="00170763" w:rsidP="00170763">
      <w:pPr>
        <w:ind w:left="1440" w:hanging="1440"/>
        <w:jc w:val="both"/>
        <w:rPr>
          <w:rFonts w:ascii="Arial" w:hAnsi="Arial"/>
          <w:b/>
          <w:sz w:val="20"/>
          <w:szCs w:val="20"/>
        </w:rPr>
      </w:pPr>
    </w:p>
    <w:p w:rsidR="00170763" w:rsidRDefault="00170763" w:rsidP="00170763">
      <w:pPr>
        <w:ind w:left="1440" w:hanging="1440"/>
        <w:jc w:val="both"/>
        <w:rPr>
          <w:rFonts w:ascii="Arial" w:hAnsi="Arial"/>
          <w:b/>
          <w:sz w:val="20"/>
          <w:szCs w:val="20"/>
        </w:rPr>
      </w:pPr>
    </w:p>
    <w:p w:rsidR="00170763" w:rsidRPr="009F3C63" w:rsidRDefault="00170763" w:rsidP="00170763">
      <w:pPr>
        <w:ind w:left="1440" w:hanging="1440"/>
        <w:jc w:val="both"/>
        <w:rPr>
          <w:rFonts w:ascii="Arial" w:hAnsi="Arial"/>
          <w:b/>
          <w:sz w:val="20"/>
          <w:szCs w:val="20"/>
        </w:rPr>
      </w:pPr>
      <w:r w:rsidRPr="009F3C63">
        <w:rPr>
          <w:rFonts w:ascii="Arial" w:hAnsi="Arial"/>
          <w:b/>
          <w:sz w:val="20"/>
          <w:szCs w:val="20"/>
        </w:rPr>
        <w:t>Alternative policy:</w:t>
      </w:r>
    </w:p>
    <w:p w:rsidR="00170763" w:rsidRPr="009F3C63" w:rsidRDefault="00170763" w:rsidP="00170763">
      <w:pPr>
        <w:ind w:left="1440" w:hanging="1440"/>
        <w:jc w:val="both"/>
        <w:rPr>
          <w:rFonts w:ascii="Arial" w:hAnsi="Arial"/>
          <w:sz w:val="20"/>
          <w:szCs w:val="20"/>
        </w:rPr>
      </w:pPr>
      <w:r w:rsidRPr="009F3C63">
        <w:rPr>
          <w:rFonts w:ascii="Arial" w:hAnsi="Arial"/>
          <w:b/>
          <w:sz w:val="20"/>
          <w:szCs w:val="20"/>
        </w:rPr>
        <w:tab/>
      </w:r>
      <w:r w:rsidRPr="009F3C63">
        <w:rPr>
          <w:rFonts w:ascii="Arial" w:hAnsi="Arial"/>
          <w:sz w:val="20"/>
          <w:szCs w:val="20"/>
        </w:rPr>
        <w:t>80% of the accounts receivable to be collected in the month following the sale, 10% in the second month, 8% in the third month and the balance written off as bad.</w:t>
      </w:r>
    </w:p>
    <w:p w:rsidR="00170763" w:rsidRDefault="00170763" w:rsidP="00170763">
      <w:pPr>
        <w:overflowPunct w:val="0"/>
        <w:autoSpaceDE w:val="0"/>
        <w:autoSpaceDN w:val="0"/>
        <w:adjustRightInd w:val="0"/>
        <w:spacing w:after="0" w:line="240" w:lineRule="auto"/>
        <w:ind w:left="360" w:hanging="360"/>
        <w:jc w:val="both"/>
        <w:textAlignment w:val="baseline"/>
        <w:rPr>
          <w:rFonts w:ascii="Arial" w:hAnsi="Arial"/>
          <w:b/>
          <w:sz w:val="20"/>
          <w:szCs w:val="20"/>
        </w:rPr>
      </w:pPr>
    </w:p>
    <w:p w:rsidR="00170763" w:rsidRDefault="00170763" w:rsidP="00170763">
      <w:pPr>
        <w:overflowPunct w:val="0"/>
        <w:autoSpaceDE w:val="0"/>
        <w:autoSpaceDN w:val="0"/>
        <w:adjustRightInd w:val="0"/>
        <w:spacing w:after="0" w:line="240" w:lineRule="auto"/>
        <w:ind w:left="360" w:hanging="360"/>
        <w:jc w:val="both"/>
        <w:textAlignment w:val="baseline"/>
        <w:rPr>
          <w:rFonts w:ascii="Arial" w:hAnsi="Arial"/>
          <w:b/>
          <w:sz w:val="20"/>
          <w:szCs w:val="20"/>
        </w:rPr>
      </w:pPr>
    </w:p>
    <w:p w:rsidR="00170763" w:rsidRDefault="00170763" w:rsidP="00170763">
      <w:pPr>
        <w:overflowPunct w:val="0"/>
        <w:autoSpaceDE w:val="0"/>
        <w:autoSpaceDN w:val="0"/>
        <w:adjustRightInd w:val="0"/>
        <w:spacing w:after="0" w:line="240" w:lineRule="auto"/>
        <w:ind w:left="360" w:hanging="360"/>
        <w:jc w:val="both"/>
        <w:textAlignment w:val="baseline"/>
        <w:rPr>
          <w:rFonts w:ascii="Arial" w:hAnsi="Arial"/>
          <w:b/>
          <w:sz w:val="20"/>
          <w:szCs w:val="20"/>
        </w:rPr>
      </w:pPr>
    </w:p>
    <w:p w:rsidR="00170763" w:rsidRDefault="00170763" w:rsidP="00170763">
      <w:pPr>
        <w:overflowPunct w:val="0"/>
        <w:autoSpaceDE w:val="0"/>
        <w:autoSpaceDN w:val="0"/>
        <w:adjustRightInd w:val="0"/>
        <w:spacing w:after="0" w:line="240" w:lineRule="auto"/>
        <w:ind w:left="360" w:hanging="360"/>
        <w:jc w:val="both"/>
        <w:textAlignment w:val="baseline"/>
        <w:rPr>
          <w:rFonts w:ascii="Arial" w:hAnsi="Arial"/>
          <w:b/>
          <w:sz w:val="20"/>
          <w:szCs w:val="20"/>
        </w:rPr>
      </w:pPr>
    </w:p>
    <w:p w:rsidR="00170763" w:rsidRDefault="00170763" w:rsidP="00170763">
      <w:pPr>
        <w:overflowPunct w:val="0"/>
        <w:autoSpaceDE w:val="0"/>
        <w:autoSpaceDN w:val="0"/>
        <w:adjustRightInd w:val="0"/>
        <w:spacing w:after="0" w:line="240" w:lineRule="auto"/>
        <w:ind w:left="360" w:hanging="360"/>
        <w:jc w:val="both"/>
        <w:textAlignment w:val="baseline"/>
        <w:rPr>
          <w:rFonts w:ascii="Arial" w:hAnsi="Arial"/>
          <w:b/>
          <w:sz w:val="20"/>
          <w:szCs w:val="20"/>
        </w:rPr>
      </w:pPr>
    </w:p>
    <w:p w:rsidR="00170763" w:rsidRPr="009F3C63" w:rsidRDefault="00170763" w:rsidP="00170763">
      <w:pPr>
        <w:overflowPunct w:val="0"/>
        <w:autoSpaceDE w:val="0"/>
        <w:autoSpaceDN w:val="0"/>
        <w:adjustRightInd w:val="0"/>
        <w:spacing w:after="0" w:line="240" w:lineRule="auto"/>
        <w:ind w:left="360" w:hanging="360"/>
        <w:jc w:val="both"/>
        <w:textAlignment w:val="baseline"/>
        <w:rPr>
          <w:rFonts w:ascii="Arial" w:hAnsi="Arial"/>
          <w:b/>
          <w:sz w:val="20"/>
          <w:szCs w:val="20"/>
        </w:rPr>
      </w:pPr>
      <w:r w:rsidRPr="009F3C63">
        <w:rPr>
          <w:rFonts w:ascii="Arial" w:hAnsi="Arial"/>
          <w:b/>
          <w:sz w:val="20"/>
          <w:szCs w:val="20"/>
        </w:rPr>
        <w:t>Required:</w:t>
      </w:r>
    </w:p>
    <w:p w:rsidR="00170763" w:rsidRPr="009F3C63" w:rsidRDefault="00170763" w:rsidP="00170763">
      <w:pPr>
        <w:overflowPunct w:val="0"/>
        <w:autoSpaceDE w:val="0"/>
        <w:autoSpaceDN w:val="0"/>
        <w:adjustRightInd w:val="0"/>
        <w:spacing w:after="0" w:line="240" w:lineRule="auto"/>
        <w:ind w:left="360"/>
        <w:jc w:val="both"/>
        <w:textAlignment w:val="baseline"/>
        <w:rPr>
          <w:rFonts w:ascii="Arial" w:hAnsi="Arial"/>
          <w:sz w:val="20"/>
          <w:szCs w:val="20"/>
        </w:rPr>
      </w:pPr>
    </w:p>
    <w:p w:rsidR="00170763" w:rsidRPr="009F3C63" w:rsidRDefault="00170763" w:rsidP="00170763">
      <w:pPr>
        <w:numPr>
          <w:ilvl w:val="0"/>
          <w:numId w:val="2"/>
        </w:numPr>
        <w:overflowPunct w:val="0"/>
        <w:autoSpaceDE w:val="0"/>
        <w:autoSpaceDN w:val="0"/>
        <w:adjustRightInd w:val="0"/>
        <w:spacing w:after="0" w:line="240" w:lineRule="auto"/>
        <w:jc w:val="both"/>
        <w:textAlignment w:val="baseline"/>
        <w:rPr>
          <w:rFonts w:ascii="Arial" w:hAnsi="Arial"/>
          <w:sz w:val="20"/>
          <w:szCs w:val="20"/>
        </w:rPr>
      </w:pPr>
      <w:r w:rsidRPr="009F3C63">
        <w:rPr>
          <w:rFonts w:ascii="Arial" w:hAnsi="Arial"/>
          <w:sz w:val="20"/>
          <w:szCs w:val="20"/>
        </w:rPr>
        <w:t>Show what the existing report on cash collection from accounts receivable looks like.</w:t>
      </w:r>
    </w:p>
    <w:p w:rsidR="00170763" w:rsidRPr="009F3C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Pr="009F3C63" w:rsidRDefault="00170763" w:rsidP="00170763">
      <w:pPr>
        <w:numPr>
          <w:ilvl w:val="0"/>
          <w:numId w:val="2"/>
        </w:numPr>
        <w:overflowPunct w:val="0"/>
        <w:autoSpaceDE w:val="0"/>
        <w:autoSpaceDN w:val="0"/>
        <w:adjustRightInd w:val="0"/>
        <w:spacing w:after="0" w:line="240" w:lineRule="auto"/>
        <w:jc w:val="both"/>
        <w:textAlignment w:val="baseline"/>
        <w:rPr>
          <w:rFonts w:ascii="Arial" w:hAnsi="Arial"/>
          <w:sz w:val="20"/>
          <w:szCs w:val="20"/>
        </w:rPr>
      </w:pPr>
      <w:r w:rsidRPr="009F3C63">
        <w:rPr>
          <w:rFonts w:ascii="Arial" w:hAnsi="Arial"/>
          <w:sz w:val="20"/>
          <w:szCs w:val="20"/>
        </w:rPr>
        <w:t>Show how the additional reports revealing the cash flow situation under the proposed alternative policy would look.</w:t>
      </w:r>
    </w:p>
    <w:p w:rsidR="00170763" w:rsidRPr="009F3C63" w:rsidRDefault="00170763" w:rsidP="00170763">
      <w:pPr>
        <w:overflowPunct w:val="0"/>
        <w:autoSpaceDE w:val="0"/>
        <w:autoSpaceDN w:val="0"/>
        <w:adjustRightInd w:val="0"/>
        <w:spacing w:after="0" w:line="240" w:lineRule="auto"/>
        <w:ind w:left="360"/>
        <w:jc w:val="both"/>
        <w:textAlignment w:val="baseline"/>
        <w:rPr>
          <w:rFonts w:ascii="Arial" w:hAnsi="Arial"/>
          <w:sz w:val="20"/>
          <w:szCs w:val="20"/>
        </w:rPr>
      </w:pPr>
    </w:p>
    <w:p w:rsidR="00170763" w:rsidRDefault="00170763" w:rsidP="00170763">
      <w:pPr>
        <w:numPr>
          <w:ilvl w:val="0"/>
          <w:numId w:val="2"/>
        </w:numPr>
        <w:overflowPunct w:val="0"/>
        <w:autoSpaceDE w:val="0"/>
        <w:autoSpaceDN w:val="0"/>
        <w:adjustRightInd w:val="0"/>
        <w:spacing w:after="0" w:line="240" w:lineRule="auto"/>
        <w:jc w:val="both"/>
        <w:textAlignment w:val="baseline"/>
        <w:rPr>
          <w:rFonts w:ascii="Arial" w:hAnsi="Arial"/>
          <w:sz w:val="20"/>
          <w:szCs w:val="20"/>
        </w:rPr>
      </w:pPr>
      <w:r w:rsidRPr="009F3C63">
        <w:rPr>
          <w:rFonts w:ascii="Arial" w:hAnsi="Arial"/>
          <w:sz w:val="20"/>
          <w:szCs w:val="20"/>
        </w:rPr>
        <w:t xml:space="preserve">After analysing the data which policy you would recommend to improve the collection process for </w:t>
      </w:r>
      <w:r>
        <w:rPr>
          <w:rFonts w:ascii="Arial" w:hAnsi="Arial"/>
          <w:sz w:val="20"/>
          <w:szCs w:val="20"/>
        </w:rPr>
        <w:t>the month of May, June and July</w:t>
      </w:r>
    </w:p>
    <w:p w:rsidR="00170763" w:rsidRDefault="00170763" w:rsidP="00170763">
      <w:pPr>
        <w:pStyle w:val="ListParagraph"/>
        <w:rPr>
          <w:rFonts w:ascii="Arial" w:hAnsi="Arial"/>
          <w:sz w:val="20"/>
          <w:szCs w:val="20"/>
        </w:rPr>
      </w:pPr>
    </w:p>
    <w:p w:rsidR="001707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Pr="009F3C63" w:rsidRDefault="00170763" w:rsidP="00170763">
      <w:pPr>
        <w:overflowPunct w:val="0"/>
        <w:autoSpaceDE w:val="0"/>
        <w:autoSpaceDN w:val="0"/>
        <w:adjustRightInd w:val="0"/>
        <w:spacing w:after="0" w:line="240" w:lineRule="auto"/>
        <w:jc w:val="both"/>
        <w:textAlignment w:val="baseline"/>
        <w:rPr>
          <w:rFonts w:ascii="Arial" w:hAnsi="Arial"/>
          <w:sz w:val="20"/>
          <w:szCs w:val="20"/>
        </w:rPr>
      </w:pPr>
    </w:p>
    <w:p w:rsidR="00170763" w:rsidRDefault="00170763" w:rsidP="00170763">
      <w:pPr>
        <w:rPr>
          <w:rFonts w:ascii="Arial" w:hAnsi="Arial"/>
          <w:b/>
          <w:sz w:val="32"/>
          <w:szCs w:val="32"/>
        </w:rPr>
      </w:pPr>
    </w:p>
    <w:p w:rsidR="00170763" w:rsidRPr="006519C9" w:rsidRDefault="00170763" w:rsidP="00170763">
      <w:pPr>
        <w:pStyle w:val="ListParagraph"/>
        <w:numPr>
          <w:ilvl w:val="1"/>
          <w:numId w:val="1"/>
        </w:numPr>
        <w:jc w:val="both"/>
        <w:rPr>
          <w:rFonts w:asciiTheme="minorHAnsi" w:hAnsiTheme="minorHAnsi"/>
          <w:sz w:val="20"/>
          <w:szCs w:val="20"/>
        </w:rPr>
      </w:pPr>
      <w:r w:rsidRPr="006519C9">
        <w:rPr>
          <w:rFonts w:asciiTheme="minorHAnsi" w:hAnsiTheme="minorHAnsi"/>
          <w:b/>
          <w:sz w:val="20"/>
          <w:szCs w:val="20"/>
        </w:rPr>
        <w:t>Current policy:</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8"/>
        <w:gridCol w:w="900"/>
        <w:gridCol w:w="900"/>
        <w:gridCol w:w="900"/>
        <w:gridCol w:w="900"/>
        <w:gridCol w:w="900"/>
        <w:gridCol w:w="900"/>
        <w:gridCol w:w="900"/>
      </w:tblGrid>
      <w:tr w:rsidR="00170763" w:rsidRPr="00FB5713" w:rsidTr="00435747">
        <w:tc>
          <w:tcPr>
            <w:tcW w:w="8318" w:type="dxa"/>
            <w:gridSpan w:val="8"/>
          </w:tcPr>
          <w:p w:rsidR="00170763" w:rsidRPr="00FB5713" w:rsidRDefault="00170763" w:rsidP="00435747">
            <w:pPr>
              <w:jc w:val="center"/>
              <w:rPr>
                <w:rFonts w:asciiTheme="minorHAnsi" w:hAnsiTheme="minorHAnsi"/>
                <w:sz w:val="20"/>
                <w:szCs w:val="20"/>
              </w:rPr>
            </w:pPr>
            <w:r w:rsidRPr="00FB5713">
              <w:rPr>
                <w:rFonts w:asciiTheme="minorHAnsi" w:hAnsiTheme="minorHAnsi"/>
                <w:b/>
                <w:sz w:val="20"/>
                <w:szCs w:val="20"/>
              </w:rPr>
              <w:t>Collections from accounts receivable</w:t>
            </w:r>
          </w:p>
        </w:tc>
      </w:tr>
      <w:tr w:rsidR="00170763" w:rsidRPr="00FB5713" w:rsidTr="00435747">
        <w:tc>
          <w:tcPr>
            <w:tcW w:w="2018"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Feb</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Mar</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Apr</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May</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June</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July</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Aug</w:t>
            </w:r>
          </w:p>
        </w:tc>
      </w:tr>
      <w:tr w:rsidR="00170763" w:rsidRPr="00FB5713" w:rsidTr="00435747">
        <w:tc>
          <w:tcPr>
            <w:tcW w:w="2018"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From sales in:</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Jan   ($40 000)</w:t>
            </w: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Feb. ($50 000)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Mar. ($60 000)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Apr. ($60 000)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May ($70 000)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June ($80 000)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July ($80 000)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r>
      <w:tr w:rsidR="00170763" w:rsidRPr="00FB5713" w:rsidTr="00435747">
        <w:tc>
          <w:tcPr>
            <w:tcW w:w="2018" w:type="dxa"/>
          </w:tcPr>
          <w:p w:rsidR="00170763" w:rsidRPr="00FB5713" w:rsidRDefault="00170763" w:rsidP="00435747">
            <w:pPr>
              <w:rPr>
                <w:rFonts w:asciiTheme="minorHAnsi" w:hAnsiTheme="minorHAnsi"/>
                <w:b/>
                <w:sz w:val="20"/>
                <w:szCs w:val="20"/>
              </w:rPr>
            </w:pPr>
          </w:p>
        </w:tc>
        <w:tc>
          <w:tcPr>
            <w:tcW w:w="900" w:type="dxa"/>
          </w:tcPr>
          <w:p w:rsidR="00170763" w:rsidRPr="00FB5713" w:rsidRDefault="00170763" w:rsidP="00435747">
            <w:pPr>
              <w:jc w:val="right"/>
              <w:rPr>
                <w:rFonts w:asciiTheme="minorHAnsi" w:hAnsiTheme="minorHAnsi"/>
                <w:b/>
                <w:bCs/>
                <w:sz w:val="20"/>
                <w:szCs w:val="20"/>
              </w:rPr>
            </w:pPr>
          </w:p>
        </w:tc>
        <w:tc>
          <w:tcPr>
            <w:tcW w:w="900" w:type="dxa"/>
          </w:tcPr>
          <w:p w:rsidR="00170763" w:rsidRPr="00FB5713" w:rsidRDefault="00170763" w:rsidP="00435747">
            <w:pPr>
              <w:jc w:val="right"/>
              <w:rPr>
                <w:rFonts w:asciiTheme="minorHAnsi" w:hAnsiTheme="minorHAnsi"/>
                <w:b/>
                <w:bCs/>
                <w:sz w:val="20"/>
                <w:szCs w:val="20"/>
              </w:rPr>
            </w:pPr>
          </w:p>
        </w:tc>
        <w:tc>
          <w:tcPr>
            <w:tcW w:w="900" w:type="dxa"/>
          </w:tcPr>
          <w:p w:rsidR="00170763" w:rsidRPr="00FB5713" w:rsidRDefault="00170763" w:rsidP="00435747">
            <w:pPr>
              <w:jc w:val="right"/>
              <w:rPr>
                <w:rFonts w:asciiTheme="minorHAnsi" w:hAnsiTheme="minorHAnsi"/>
                <w:b/>
                <w:bCs/>
                <w:sz w:val="20"/>
                <w:szCs w:val="20"/>
              </w:rPr>
            </w:pPr>
          </w:p>
        </w:tc>
        <w:tc>
          <w:tcPr>
            <w:tcW w:w="900" w:type="dxa"/>
          </w:tcPr>
          <w:p w:rsidR="00170763" w:rsidRPr="00FB5713" w:rsidRDefault="00170763" w:rsidP="00435747">
            <w:pPr>
              <w:jc w:val="right"/>
              <w:rPr>
                <w:rFonts w:asciiTheme="minorHAnsi" w:hAnsiTheme="minorHAnsi"/>
                <w:b/>
                <w:bCs/>
                <w:sz w:val="20"/>
                <w:szCs w:val="20"/>
              </w:rPr>
            </w:pPr>
          </w:p>
        </w:tc>
        <w:tc>
          <w:tcPr>
            <w:tcW w:w="900" w:type="dxa"/>
          </w:tcPr>
          <w:p w:rsidR="00170763" w:rsidRPr="00FB5713" w:rsidRDefault="00170763" w:rsidP="00435747">
            <w:pPr>
              <w:jc w:val="right"/>
              <w:rPr>
                <w:rFonts w:asciiTheme="minorHAnsi" w:hAnsiTheme="minorHAnsi"/>
                <w:b/>
                <w:bCs/>
                <w:sz w:val="20"/>
                <w:szCs w:val="20"/>
              </w:rPr>
            </w:pPr>
          </w:p>
        </w:tc>
        <w:tc>
          <w:tcPr>
            <w:tcW w:w="900" w:type="dxa"/>
          </w:tcPr>
          <w:p w:rsidR="00170763" w:rsidRPr="00FB5713" w:rsidRDefault="00170763" w:rsidP="00435747">
            <w:pPr>
              <w:jc w:val="right"/>
              <w:rPr>
                <w:rFonts w:asciiTheme="minorHAnsi" w:hAnsiTheme="minorHAnsi"/>
                <w:b/>
                <w:bCs/>
                <w:sz w:val="20"/>
                <w:szCs w:val="20"/>
              </w:rPr>
            </w:pPr>
          </w:p>
        </w:tc>
        <w:tc>
          <w:tcPr>
            <w:tcW w:w="900" w:type="dxa"/>
          </w:tcPr>
          <w:p w:rsidR="00170763" w:rsidRPr="00FB5713" w:rsidRDefault="00170763" w:rsidP="00435747">
            <w:pPr>
              <w:jc w:val="right"/>
              <w:rPr>
                <w:rFonts w:asciiTheme="minorHAnsi" w:hAnsiTheme="minorHAnsi"/>
                <w:b/>
                <w:bCs/>
                <w:sz w:val="20"/>
                <w:szCs w:val="20"/>
              </w:rPr>
            </w:pPr>
          </w:p>
        </w:tc>
      </w:tr>
    </w:tbl>
    <w:p w:rsidR="00170763" w:rsidRPr="00FB5713" w:rsidRDefault="00170763" w:rsidP="00170763">
      <w:pPr>
        <w:jc w:val="both"/>
        <w:rPr>
          <w:rFonts w:asciiTheme="minorHAnsi" w:hAnsiTheme="minorHAnsi"/>
          <w:sz w:val="20"/>
          <w:szCs w:val="20"/>
        </w:rPr>
      </w:pPr>
    </w:p>
    <w:p w:rsidR="00170763" w:rsidRPr="006519C9" w:rsidRDefault="00170763" w:rsidP="00170763">
      <w:pPr>
        <w:pStyle w:val="ListParagraph"/>
        <w:numPr>
          <w:ilvl w:val="1"/>
          <w:numId w:val="1"/>
        </w:numPr>
        <w:jc w:val="both"/>
        <w:rPr>
          <w:rFonts w:asciiTheme="minorHAnsi" w:hAnsiTheme="minorHAnsi"/>
          <w:sz w:val="20"/>
          <w:szCs w:val="20"/>
        </w:rPr>
      </w:pPr>
      <w:r w:rsidRPr="006519C9">
        <w:rPr>
          <w:rFonts w:asciiTheme="minorHAnsi" w:hAnsiTheme="minorHAnsi"/>
          <w:b/>
          <w:sz w:val="20"/>
          <w:szCs w:val="20"/>
        </w:rPr>
        <w:t>Alternate policy:</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8"/>
        <w:gridCol w:w="900"/>
        <w:gridCol w:w="900"/>
        <w:gridCol w:w="900"/>
        <w:gridCol w:w="900"/>
        <w:gridCol w:w="900"/>
        <w:gridCol w:w="891"/>
        <w:gridCol w:w="9"/>
        <w:gridCol w:w="900"/>
      </w:tblGrid>
      <w:tr w:rsidR="00170763" w:rsidRPr="00FB5713" w:rsidTr="00435747">
        <w:trPr>
          <w:gridAfter w:val="2"/>
          <w:wAfter w:w="909" w:type="dxa"/>
        </w:trPr>
        <w:tc>
          <w:tcPr>
            <w:tcW w:w="7229" w:type="dxa"/>
            <w:gridSpan w:val="7"/>
          </w:tcPr>
          <w:p w:rsidR="00170763" w:rsidRPr="00FB5713" w:rsidRDefault="00170763" w:rsidP="00435747">
            <w:pPr>
              <w:jc w:val="center"/>
              <w:rPr>
                <w:rFonts w:asciiTheme="minorHAnsi" w:hAnsiTheme="minorHAnsi"/>
                <w:sz w:val="20"/>
                <w:szCs w:val="20"/>
              </w:rPr>
            </w:pPr>
            <w:r w:rsidRPr="00FB5713">
              <w:rPr>
                <w:rFonts w:asciiTheme="minorHAnsi" w:hAnsiTheme="minorHAnsi"/>
                <w:b/>
                <w:sz w:val="20"/>
                <w:szCs w:val="20"/>
              </w:rPr>
              <w:t>Collections from accounts receivable</w:t>
            </w:r>
          </w:p>
        </w:tc>
      </w:tr>
      <w:tr w:rsidR="00170763" w:rsidRPr="00FB5713" w:rsidTr="00435747">
        <w:tc>
          <w:tcPr>
            <w:tcW w:w="1838"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Feb</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Mar</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Apr</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May</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June</w:t>
            </w:r>
          </w:p>
        </w:tc>
        <w:tc>
          <w:tcPr>
            <w:tcW w:w="900" w:type="dxa"/>
            <w:gridSpan w:val="2"/>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July</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Aug</w:t>
            </w:r>
          </w:p>
        </w:tc>
      </w:tr>
      <w:tr w:rsidR="00170763" w:rsidRPr="00FB5713" w:rsidTr="00435747">
        <w:tc>
          <w:tcPr>
            <w:tcW w:w="1838"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gridSpan w:val="2"/>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c>
          <w:tcPr>
            <w:tcW w:w="900" w:type="dxa"/>
          </w:tcPr>
          <w:p w:rsidR="00170763" w:rsidRPr="00FB5713" w:rsidRDefault="00170763" w:rsidP="00435747">
            <w:pPr>
              <w:jc w:val="center"/>
              <w:rPr>
                <w:rFonts w:asciiTheme="minorHAnsi" w:hAnsiTheme="minorHAnsi"/>
                <w:sz w:val="20"/>
                <w:szCs w:val="20"/>
              </w:rPr>
            </w:pPr>
            <w:r w:rsidRPr="00FB5713">
              <w:rPr>
                <w:rFonts w:asciiTheme="minorHAnsi" w:hAnsiTheme="minorHAnsi"/>
                <w:sz w:val="20"/>
                <w:szCs w:val="20"/>
              </w:rPr>
              <w:t>$</w:t>
            </w: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From sales in:</w:t>
            </w: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gridSpan w:val="2"/>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Jan ($40 000)</w:t>
            </w: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gridSpan w:val="2"/>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Feb. ($50 000)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c>
          <w:tcPr>
            <w:tcW w:w="900" w:type="dxa"/>
            <w:gridSpan w:val="2"/>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Mar. ($60 000)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gridSpan w:val="2"/>
          </w:tcPr>
          <w:p w:rsidR="00170763" w:rsidRPr="00FB5713" w:rsidRDefault="00170763" w:rsidP="00435747">
            <w:pPr>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Apr. ($60 000)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gridSpan w:val="2"/>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rPr>
                <w:rFonts w:asciiTheme="minorHAnsi" w:hAnsiTheme="minorHAnsi"/>
                <w:sz w:val="20"/>
                <w:szCs w:val="20"/>
              </w:rPr>
            </w:pP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May ($70 000)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c>
          <w:tcPr>
            <w:tcW w:w="900" w:type="dxa"/>
            <w:gridSpan w:val="2"/>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lastRenderedPageBreak/>
              <w:t>June ($80 000)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gridSpan w:val="2"/>
          </w:tcPr>
          <w:p w:rsidR="00170763" w:rsidRPr="00FB5713" w:rsidRDefault="00170763" w:rsidP="00435747">
            <w:pPr>
              <w:jc w:val="right"/>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r>
      <w:tr w:rsidR="00170763" w:rsidRPr="00FB5713" w:rsidTr="00435747">
        <w:tc>
          <w:tcPr>
            <w:tcW w:w="1838" w:type="dxa"/>
          </w:tcPr>
          <w:p w:rsidR="00170763" w:rsidRPr="00FB5713" w:rsidRDefault="00170763" w:rsidP="00435747">
            <w:pPr>
              <w:rPr>
                <w:rFonts w:asciiTheme="minorHAnsi" w:hAnsiTheme="minorHAnsi"/>
                <w:sz w:val="20"/>
                <w:szCs w:val="20"/>
              </w:rPr>
            </w:pPr>
            <w:r w:rsidRPr="00FB5713">
              <w:rPr>
                <w:rFonts w:asciiTheme="minorHAnsi" w:hAnsiTheme="minorHAnsi"/>
                <w:sz w:val="20"/>
                <w:szCs w:val="20"/>
              </w:rPr>
              <w:t>July ($80 000)</w:t>
            </w: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center"/>
              <w:rPr>
                <w:rFonts w:asciiTheme="minorHAnsi" w:hAnsiTheme="minorHAnsi"/>
                <w:sz w:val="20"/>
                <w:szCs w:val="20"/>
              </w:rPr>
            </w:pPr>
          </w:p>
        </w:tc>
        <w:tc>
          <w:tcPr>
            <w:tcW w:w="900" w:type="dxa"/>
            <w:gridSpan w:val="2"/>
          </w:tcPr>
          <w:p w:rsidR="00170763" w:rsidRPr="00FB5713" w:rsidRDefault="00170763" w:rsidP="00435747">
            <w:pPr>
              <w:jc w:val="center"/>
              <w:rPr>
                <w:rFonts w:asciiTheme="minorHAnsi" w:hAnsiTheme="minorHAnsi"/>
                <w:sz w:val="20"/>
                <w:szCs w:val="20"/>
              </w:rPr>
            </w:pPr>
          </w:p>
        </w:tc>
        <w:tc>
          <w:tcPr>
            <w:tcW w:w="900" w:type="dxa"/>
          </w:tcPr>
          <w:p w:rsidR="00170763" w:rsidRPr="00FB5713" w:rsidRDefault="00170763" w:rsidP="00435747">
            <w:pPr>
              <w:jc w:val="right"/>
              <w:rPr>
                <w:rFonts w:asciiTheme="minorHAnsi" w:hAnsiTheme="minorHAnsi"/>
                <w:sz w:val="20"/>
                <w:szCs w:val="20"/>
              </w:rPr>
            </w:pPr>
          </w:p>
        </w:tc>
      </w:tr>
    </w:tbl>
    <w:p w:rsidR="00170763" w:rsidRDefault="00170763" w:rsidP="00170763">
      <w:pPr>
        <w:rPr>
          <w:rFonts w:ascii="Arial" w:hAnsi="Arial"/>
          <w:b/>
          <w:sz w:val="32"/>
          <w:szCs w:val="32"/>
        </w:rPr>
      </w:pPr>
    </w:p>
    <w:p w:rsidR="00170763" w:rsidRDefault="00170763" w:rsidP="00170763">
      <w:pPr>
        <w:rPr>
          <w:rFonts w:ascii="Arial" w:hAnsi="Arial"/>
          <w:b/>
          <w:sz w:val="32"/>
          <w:szCs w:val="32"/>
        </w:rPr>
      </w:pPr>
    </w:p>
    <w:p w:rsidR="00170763" w:rsidRPr="006519C9" w:rsidRDefault="00170763" w:rsidP="00170763">
      <w:pPr>
        <w:pStyle w:val="ListParagraph"/>
        <w:numPr>
          <w:ilvl w:val="1"/>
          <w:numId w:val="1"/>
        </w:numPr>
        <w:rPr>
          <w:rFonts w:ascii="Arial" w:hAnsi="Arial"/>
          <w:b/>
          <w:sz w:val="20"/>
          <w:szCs w:val="20"/>
        </w:rPr>
      </w:pPr>
      <w:r>
        <w:rPr>
          <w:rFonts w:ascii="Arial" w:hAnsi="Arial"/>
          <w:b/>
          <w:sz w:val="20"/>
          <w:szCs w:val="20"/>
        </w:rPr>
        <w:t>Recommendation</w:t>
      </w:r>
      <w:r w:rsidRPr="006519C9">
        <w:rPr>
          <w:rFonts w:ascii="Arial" w:hAnsi="Arial"/>
          <w:b/>
          <w:sz w:val="20"/>
          <w:szCs w:val="20"/>
        </w:rPr>
        <w:t>:</w:t>
      </w:r>
    </w:p>
    <w:p w:rsidR="00252926" w:rsidRDefault="00252926">
      <w:bookmarkStart w:id="0" w:name="_GoBack"/>
      <w:bookmarkEnd w:id="0"/>
    </w:p>
    <w:sectPr w:rsidR="00252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838A5"/>
    <w:multiLevelType w:val="multilevel"/>
    <w:tmpl w:val="F7F8A0C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B22DC"/>
    <w:multiLevelType w:val="hybridMultilevel"/>
    <w:tmpl w:val="34620742"/>
    <w:lvl w:ilvl="0" w:tplc="0C09000F">
      <w:start w:val="1"/>
      <w:numFmt w:val="decimal"/>
      <w:lvlText w:val="%1."/>
      <w:lvlJc w:val="left"/>
      <w:pPr>
        <w:tabs>
          <w:tab w:val="num" w:pos="360"/>
        </w:tabs>
        <w:ind w:left="360" w:hanging="360"/>
      </w:pPr>
      <w:rPr>
        <w:rFonts w:hint="default"/>
        <w:color w:val="auto"/>
        <w:sz w:val="20"/>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63"/>
    <w:rsid w:val="00170763"/>
    <w:rsid w:val="00252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35F21-5A9F-4603-BF67-55E26A44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0763"/>
    <w:pPr>
      <w:spacing w:after="200" w:line="276" w:lineRule="auto"/>
    </w:pPr>
    <w:rPr>
      <w:rFonts w:ascii="Calibri" w:eastAsia="Times New Roman" w:hAnsi="Calibri" w:cs="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c:creator>
  <cp:keywords/>
  <dc:description/>
  <cp:lastModifiedBy>DANIEL LIN</cp:lastModifiedBy>
  <cp:revision>1</cp:revision>
  <dcterms:created xsi:type="dcterms:W3CDTF">2017-05-18T05:12:00Z</dcterms:created>
  <dcterms:modified xsi:type="dcterms:W3CDTF">2017-05-18T05:13:00Z</dcterms:modified>
</cp:coreProperties>
</file>